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42A3E">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145C881A">
      <w:pPr>
        <w:spacing w:line="540" w:lineRule="exact"/>
        <w:jc w:val="center"/>
        <w:rPr>
          <w:rFonts w:ascii="方正小标宋_GBK" w:hAnsi="华文中宋" w:eastAsia="方正小标宋_GBK" w:cs="宋体"/>
          <w:b/>
          <w:kern w:val="0"/>
          <w:sz w:val="48"/>
          <w:szCs w:val="48"/>
        </w:rPr>
      </w:pPr>
    </w:p>
    <w:p w14:paraId="660D37FC">
      <w:pPr>
        <w:spacing w:line="540" w:lineRule="exact"/>
        <w:jc w:val="center"/>
        <w:rPr>
          <w:rFonts w:ascii="方正小标宋_GBK" w:hAnsi="华文中宋" w:eastAsia="方正小标宋_GBK" w:cs="宋体"/>
          <w:b/>
          <w:kern w:val="0"/>
          <w:sz w:val="48"/>
          <w:szCs w:val="48"/>
        </w:rPr>
      </w:pPr>
    </w:p>
    <w:p w14:paraId="54F891C6">
      <w:pPr>
        <w:spacing w:line="540" w:lineRule="exact"/>
        <w:jc w:val="center"/>
        <w:rPr>
          <w:rFonts w:ascii="方正小标宋_GBK" w:hAnsi="华文中宋" w:eastAsia="方正小标宋_GBK" w:cs="宋体"/>
          <w:b/>
          <w:kern w:val="0"/>
          <w:sz w:val="48"/>
          <w:szCs w:val="48"/>
        </w:rPr>
      </w:pPr>
    </w:p>
    <w:p w14:paraId="0A6DF04C">
      <w:pPr>
        <w:spacing w:line="540" w:lineRule="exact"/>
        <w:jc w:val="center"/>
        <w:rPr>
          <w:rFonts w:ascii="方正小标宋_GBK" w:hAnsi="华文中宋" w:eastAsia="方正小标宋_GBK" w:cs="宋体"/>
          <w:b/>
          <w:kern w:val="0"/>
          <w:sz w:val="48"/>
          <w:szCs w:val="48"/>
        </w:rPr>
      </w:pPr>
    </w:p>
    <w:p w14:paraId="6437343C">
      <w:pPr>
        <w:spacing w:line="540" w:lineRule="exact"/>
        <w:jc w:val="center"/>
        <w:rPr>
          <w:rFonts w:ascii="方正小标宋_GBK" w:hAnsi="华文中宋" w:eastAsia="方正小标宋_GBK" w:cs="宋体"/>
          <w:b/>
          <w:kern w:val="0"/>
          <w:sz w:val="48"/>
          <w:szCs w:val="48"/>
        </w:rPr>
      </w:pPr>
    </w:p>
    <w:p w14:paraId="1EE99126">
      <w:pPr>
        <w:spacing w:line="540" w:lineRule="exact"/>
        <w:jc w:val="center"/>
        <w:rPr>
          <w:rFonts w:ascii="方正小标宋_GBK" w:hAnsi="华文中宋" w:eastAsia="方正小标宋_GBK" w:cs="宋体"/>
          <w:b/>
          <w:kern w:val="0"/>
          <w:sz w:val="48"/>
          <w:szCs w:val="48"/>
        </w:rPr>
      </w:pPr>
    </w:p>
    <w:p w14:paraId="1C191A6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2BF3F73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3052A584">
      <w:pPr>
        <w:spacing w:line="540" w:lineRule="exact"/>
        <w:jc w:val="center"/>
        <w:rPr>
          <w:rFonts w:ascii="华文中宋" w:hAnsi="华文中宋" w:eastAsia="华文中宋" w:cs="宋体"/>
          <w:b/>
          <w:kern w:val="0"/>
          <w:sz w:val="52"/>
          <w:szCs w:val="52"/>
        </w:rPr>
      </w:pPr>
    </w:p>
    <w:p w14:paraId="37FFEE29">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5EA27F4C">
      <w:pPr>
        <w:spacing w:line="700" w:lineRule="exact"/>
        <w:jc w:val="left"/>
        <w:rPr>
          <w:rFonts w:hint="eastAsia" w:hAnsi="宋体" w:eastAsia="仿宋_GB2312" w:cs="宋体"/>
          <w:kern w:val="0"/>
          <w:sz w:val="36"/>
          <w:szCs w:val="36"/>
        </w:rPr>
      </w:pPr>
    </w:p>
    <w:p w14:paraId="6613579F">
      <w:pPr>
        <w:spacing w:line="700" w:lineRule="exact"/>
        <w:jc w:val="left"/>
        <w:rPr>
          <w:rFonts w:hint="eastAsia" w:hAnsi="宋体" w:eastAsia="仿宋_GB2312" w:cs="宋体"/>
          <w:kern w:val="0"/>
          <w:sz w:val="36"/>
          <w:szCs w:val="36"/>
        </w:rPr>
      </w:pPr>
    </w:p>
    <w:p w14:paraId="763C5AE9">
      <w:pPr>
        <w:spacing w:line="700" w:lineRule="exact"/>
        <w:jc w:val="left"/>
        <w:rPr>
          <w:rFonts w:hint="eastAsia" w:hAnsi="宋体" w:eastAsia="仿宋_GB2312" w:cs="宋体"/>
          <w:kern w:val="0"/>
          <w:sz w:val="36"/>
          <w:szCs w:val="36"/>
          <w:lang w:eastAsia="zh-CN"/>
        </w:rPr>
      </w:pPr>
    </w:p>
    <w:p w14:paraId="04E9C53A">
      <w:pPr>
        <w:spacing w:line="700" w:lineRule="exact"/>
        <w:jc w:val="left"/>
        <w:rPr>
          <w:rFonts w:hint="eastAsia" w:hAnsi="宋体" w:eastAsia="仿宋_GB2312" w:cs="宋体"/>
          <w:kern w:val="0"/>
          <w:sz w:val="36"/>
          <w:szCs w:val="36"/>
          <w:lang w:eastAsia="zh-CN"/>
        </w:rPr>
      </w:pPr>
    </w:p>
    <w:p w14:paraId="46DC9C46">
      <w:pPr>
        <w:spacing w:line="700" w:lineRule="exact"/>
        <w:jc w:val="left"/>
        <w:rPr>
          <w:rFonts w:hint="eastAsia" w:hAnsi="宋体" w:eastAsia="仿宋_GB2312" w:cs="宋体"/>
          <w:kern w:val="0"/>
          <w:sz w:val="36"/>
          <w:szCs w:val="36"/>
          <w:lang w:eastAsia="zh-CN"/>
        </w:rPr>
      </w:pPr>
    </w:p>
    <w:p w14:paraId="56DCEACD">
      <w:pPr>
        <w:spacing w:line="700" w:lineRule="exact"/>
        <w:jc w:val="left"/>
        <w:rPr>
          <w:rFonts w:hint="eastAsia" w:hAnsi="宋体" w:eastAsia="仿宋_GB2312" w:cs="宋体"/>
          <w:kern w:val="0"/>
          <w:sz w:val="36"/>
          <w:szCs w:val="36"/>
          <w:lang w:eastAsia="zh-CN"/>
        </w:rPr>
      </w:pPr>
    </w:p>
    <w:p w14:paraId="34BC9EED">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克州驻吉代表处</w:t>
      </w:r>
    </w:p>
    <w:p w14:paraId="1FAE3CE8">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303A7045">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4326AD9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16906C6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配合中国驻吉大使馆、商务参赞处，做好克州在外从事经贸活动的企业和人员的领事保护和服务工作。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为克州外经贸企业、个体经商人员以及其他客商赴吉开展业务、开拓市场提供综合服务。包括提供商业信息、介绍经贸合作项目，建立双方联络沟通，帮助办理登记、注册等手续，接受企业或经商人员委托为其进行信誉调查等。</w:t>
      </w:r>
      <w:r>
        <w:rPr>
          <w:rFonts w:hint="eastAsia" w:ascii="仿宋_GB2312" w:hAnsi="宋体" w:eastAsia="仿宋_GB2312"/>
          <w:b w:val="0"/>
          <w:bCs/>
          <w:sz w:val="32"/>
          <w:szCs w:val="32"/>
        </w:rPr>
        <w:cr/>
      </w:r>
      <w:r>
        <w:rPr>
          <w:rFonts w:hint="eastAsia" w:ascii="仿宋_GB2312" w:hAnsi="宋体" w:eastAsia="仿宋_GB2312"/>
          <w:b w:val="0"/>
          <w:bCs/>
          <w:sz w:val="32"/>
          <w:szCs w:val="32"/>
        </w:rPr>
        <w:t>　　为我出境企业或个人提供交通、通讯、通关和食宿等便利条件。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配合克州外办，加大对我境外经商人员的外事教育，及时了解掌握和帮助解决其对外贸易中存在的问题及困难，并邀请我国驻吉商务参赞处有计划的对我商人进行境外国际贸易培训，规范贸易行为，降低贸易风险，确保边境贸易持续、健康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敦促吉国相关部门妥善处理我境外企业及人员商务纠纷、财物盗抢、人身攻击等涉外事件，切实维护其合法权益。</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负责研究中亚市场行情、收集商业信息，准确把握所在国及周边国家政策、法规动态和经济走势，及时向州委、人民政府提出对策和建议。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完成接待克州党政代表团赴吉国考察访问、参加国际会议和高层互访的任务，并负责完成党政领导临时交办的其他事项。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中国新疆</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边贸公司联合驻吉尔吉斯共和国代表处财政供养事业编制数8人，实有人数6人，其中：在职6人。退休3人。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在自治州党委、人民政府的正确领导和主管局的指导下，紧紧围绕自治区党委“1+3”重点工作部署，认真贯彻落实十九届五中全会、第三次中央新疆工作座谈会和州委十届六次、十届七次全体会议精神，统筹疫情防控、脱贫攻坚、经济发展、社会稳定等工作，认真理清工作思路，细化工作目标，有序推进了各项工作，取得了较好的成绩。</w:t>
      </w:r>
      <w:r>
        <w:rPr>
          <w:rFonts w:hint="eastAsia" w:ascii="仿宋_GB2312" w:hAnsi="宋体" w:eastAsia="仿宋_GB2312"/>
          <w:b w:val="0"/>
          <w:bCs/>
          <w:sz w:val="32"/>
          <w:szCs w:val="32"/>
        </w:rPr>
        <w:cr/>
      </w:r>
      <w:r>
        <w:rPr>
          <w:rFonts w:hint="eastAsia" w:ascii="仿宋_GB2312" w:hAnsi="宋体" w:eastAsia="仿宋_GB2312"/>
          <w:b w:val="0"/>
          <w:bCs/>
          <w:sz w:val="32"/>
          <w:szCs w:val="32"/>
        </w:rPr>
        <w:t>　　（1）以预防为重点，狠抓疫情防控。“疫情就是命令，防控就是责任”、“要把人民群众生命安全和身体健康放在第一位”。一年来，我单位始终坚持用实际行动对标对表习近平总书记关于新冠肺炎疫情防控重要讲话和批示精神，切实提高政治站位，坚决扛起政治责任，从增强“四个意识”、坚定“四个自信”、做到“两个维护”的高度，把新冠肺炎疫情防控作为头等大事来抓，严格落实单位主体责任、家庭和个人自我防护责任。1-3月，按照州委要求，我单位全体干部均在单位和包联村值守，坚持领导带班和24小时值班制度，所有干部保持通讯畅通，随叫随到。7-8月、10-11月，疫情再次发生时，我单位按照州党委要求安排2名干部在留守单位，1名干部下沉，配合“访惠聚”工作队对博依萨克村村民进行一一排查，反复给村民宣传防疫知识，做好隔离人员服务和路面管控工作，确保村民的生命安全。疫情无情，人间有爱。武汉疫情发生后，代表处党员干部先后给武汉疫区捐款近1500元。</w:t>
      </w:r>
      <w:r>
        <w:rPr>
          <w:rFonts w:hint="eastAsia" w:ascii="仿宋_GB2312" w:hAnsi="宋体" w:eastAsia="仿宋_GB2312"/>
          <w:b w:val="0"/>
          <w:bCs/>
          <w:sz w:val="32"/>
          <w:szCs w:val="32"/>
        </w:rPr>
        <w:cr/>
      </w:r>
      <w:r>
        <w:rPr>
          <w:rFonts w:hint="eastAsia" w:ascii="仿宋_GB2312" w:hAnsi="宋体" w:eastAsia="仿宋_GB2312"/>
          <w:b w:val="0"/>
          <w:bCs/>
          <w:sz w:val="32"/>
          <w:szCs w:val="32"/>
        </w:rPr>
        <w:t>　　（2）以项目为抓手，巩固脱贫成果。今年年初，我单位抽调2名干部与商务局干部组成“访惠聚”驻村工作队，深入上阿图什镇博依萨克村（已于2018年整村脱贫）开展“访惠聚”工作。在镇党委和村第一书记的统筹安排下，结合“两不愁三保障”及“一超过”等指标，多次组织对博依萨克村全部农业户籍家庭进行了摸底和排查，发现问题，立刻整改。同时，为增进民族团结，助力脱贫攻坚，我单位积极开展“民族团结一家亲”和走访慰问活动。我单位5名干部，共结对认亲13户，通过四轮结对认亲、每季走访、谈心谈话、帮助就业、解决困难和形式多样、寓教于乐的文体联谊活动的开展，涌现出了一个又一个感人的“民族团结一家亲”好人好事和先进典型，也使村民的脱贫信心更足了，脱贫思路更宽了，脱贫成效更明显了，获得感、幸福感更强了。</w:t>
      </w:r>
      <w:r>
        <w:rPr>
          <w:rFonts w:hint="eastAsia" w:ascii="仿宋_GB2312" w:hAnsi="宋体" w:eastAsia="仿宋_GB2312"/>
          <w:b w:val="0"/>
          <w:bCs/>
          <w:sz w:val="32"/>
          <w:szCs w:val="32"/>
        </w:rPr>
        <w:cr/>
      </w:r>
      <w:r>
        <w:rPr>
          <w:rFonts w:hint="eastAsia" w:ascii="仿宋_GB2312" w:hAnsi="宋体" w:eastAsia="仿宋_GB2312"/>
          <w:b w:val="0"/>
          <w:bCs/>
          <w:sz w:val="32"/>
          <w:szCs w:val="32"/>
        </w:rPr>
        <w:t>　　以整改为契机，切实加强党建。今年4月份以来，针对州委第十轮第八巡察组反馈的克州商务局党组在党的政治建设、党的组织建设、党的作风建设、巩固反腐败斗争压倒性胜利等四个方面存在的问题，我单位积极配合克州商务局根据巡察整改方案细化制定了问题整改清单，实行销号管理，逐项落实。对能够立即整改的，坚持立行立改，对难以立即整改的，根据巡察整改方案和计划要求进一步细化整改措施，明确时限分步到位。坚持立行立改与建立长效机制相结合，对于共性问题，坚持建章立制用制度管人管事。截至9月底，整改问题已经全部完成整改，有力地增强了局党组织的凝聚力、战斗力和号召力，达到了以整改转变作风，以整改促进工作，以整改提高效能的目的。同时，严格落实“三会一课”等制度，通过利用“学习强国”“法宣在线”“新疆网院”等平台，组织党员干部及时切实加强对</w:t>
      </w:r>
      <w:r>
        <w:rPr>
          <w:rFonts w:hint="eastAsia" w:ascii="仿宋_GB2312" w:hAnsi="宋体" w:eastAsia="仿宋_GB2312"/>
          <w:b w:val="0"/>
          <w:bCs/>
          <w:sz w:val="32"/>
          <w:szCs w:val="32"/>
          <w:lang w:eastAsia="zh-CN"/>
        </w:rPr>
        <w:t>全国两会</w:t>
      </w:r>
      <w:r>
        <w:rPr>
          <w:rFonts w:hint="eastAsia" w:ascii="仿宋_GB2312" w:hAnsi="宋体" w:eastAsia="仿宋_GB2312"/>
          <w:b w:val="0"/>
          <w:bCs/>
          <w:sz w:val="32"/>
          <w:szCs w:val="32"/>
        </w:rPr>
        <w:t>、第三次中央新疆工作座谈会、</w:t>
      </w:r>
      <w:r>
        <w:rPr>
          <w:rFonts w:hint="eastAsia" w:ascii="仿宋_GB2312" w:hAnsi="宋体" w:eastAsia="仿宋_GB2312"/>
          <w:b w:val="0"/>
          <w:bCs/>
          <w:sz w:val="32"/>
          <w:szCs w:val="32"/>
          <w:lang w:eastAsia="zh-CN"/>
        </w:rPr>
        <w:t>党的十九届五中全会精神</w:t>
      </w:r>
      <w:r>
        <w:rPr>
          <w:rFonts w:hint="eastAsia" w:ascii="仿宋_GB2312" w:hAnsi="宋体" w:eastAsia="仿宋_GB2312"/>
          <w:b w:val="0"/>
          <w:bCs/>
          <w:sz w:val="32"/>
          <w:szCs w:val="32"/>
        </w:rPr>
        <w:t>的学习，不断丰富学习内容，创新学习方式，达到了提高认识、丰富思想、凝聚力量、统一行动，以学习促进工作的良好效果。</w:t>
      </w:r>
      <w:r>
        <w:rPr>
          <w:rFonts w:hint="eastAsia" w:ascii="仿宋_GB2312" w:hAnsi="宋体" w:eastAsia="仿宋_GB2312"/>
          <w:b w:val="0"/>
          <w:bCs/>
          <w:sz w:val="32"/>
          <w:szCs w:val="32"/>
        </w:rPr>
        <w:cr/>
      </w:r>
      <w:r>
        <w:rPr>
          <w:rFonts w:hint="eastAsia" w:ascii="仿宋_GB2312" w:hAnsi="宋体" w:eastAsia="仿宋_GB2312"/>
          <w:b w:val="0"/>
          <w:bCs/>
          <w:sz w:val="32"/>
          <w:szCs w:val="32"/>
        </w:rPr>
        <w:t>　　此外，我单位还根据所在街道和社区的要求，严格落实维稳值班制度，扎实开展优秀平安单位、优秀平安家庭及州级文明单位创建活动，实现了“大事不出、中事不出、小事也不出”的目标。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部门项目的立项依据充分，符合相关法规政策及部门职责，依据充分。符合行业发展和政策要求，与部门职责范围相符，属于部门履职所需。符合中央、地方事权支出责任划分原则。</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部门项目立项程序规范，项目严格按照规定的程序申请设立；审批文件、材料符合相关要求；项目前期已经过必要的可行性研究、专家论证、风险评估、绩效评估、集体决策。</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部门整体绩效目标设置合理，根据相关文件要求设置了整体绩效目标，整体项目绩效目标基本合理，与实际工作内容相关；预期产出效益和效果符合正常的业绩水平；与预算确定的项目投资额或资金量相匹配。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部门整体绩效指标明确，已将整体项目绩效目标细化分解为具体的绩效指标；可以通过清晰、可衡量的指标值予以体现；与整体项目目标任务数或计划数相对应。</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预算编制科学，整体项目在资金投入方面，预算编制经过科学论证、有明确标准，资金额度与年度目标相适应，用以反映和考核项目预算编制的科学性、合理性情况。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资金分配合理，整体项目预算资金分配有测算依据，资金分配额度合理，与部门单位的实际情况相适应。</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综上，我单位本年各项工作能够做到部门项目的立项依据充分，部门项目立项程序规范，绩效目标设置合理，预算编制科学有效，资金分配合理。决策过程科学规范、实施有效。</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（三）项目资金分配</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预算编制和分配符合部门职责和任务要求，能根据年度工作重点，在不同项目、不同用途之间进行合理分配。整体绩效目标与预算确定的资金相匹配。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重点支出保障率用以反映和考核部门（单位）对履行主要职责或完成重点任务的保障程度。我单位本年无重点项目，本年度预算安排的重点项目支出0万元，项目总支出0万元，重点支出保障率为0%。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（1）年初预算执行情况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我单位年初预算数为73.11万元，实际预算执行数73.11万元，预算执行率为100%。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（2）全年预算执行情况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全年预算数为91.70万元，全年实际支出资金91.70万元，预算执行率为100%。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2.预算调整情况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我单位年初批复预算数73.11万元，年中调整数18.59万元，调整后全年预算数91.70万元，预算调整率25.43%。</w:t>
      </w:r>
      <w:r>
        <w:rPr>
          <w:rFonts w:hint="eastAsia" w:ascii="仿宋_GB2312" w:hAnsi="宋体" w:eastAsia="仿宋_GB2312"/>
          <w:b w:val="0"/>
          <w:bCs/>
          <w:sz w:val="32"/>
          <w:szCs w:val="32"/>
        </w:rPr>
        <w:cr/>
      </w:r>
      <w:r>
        <w:rPr>
          <w:rFonts w:hint="eastAsia" w:ascii="仿宋_GB2312" w:hAnsi="宋体" w:eastAsia="仿宋_GB2312"/>
          <w:b w:val="0"/>
          <w:bCs/>
          <w:sz w:val="32"/>
          <w:szCs w:val="32"/>
        </w:rPr>
        <w:t>　　3.政府采购执行情况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我单位本年度需政府采购的预算数为0万元。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（五）评价使用方法和主要内容、涉及范围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1.评价使用方法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评价范围是对本单位整体支出从年度总体绩效目标、产出指标、效益指标、满意度指标等方面进行了全方位、多角度综合评价分析。</w:t>
      </w:r>
      <w:bookmarkStart w:id="0" w:name="_Hlk43849111"/>
      <w:bookmarkEnd w:id="0"/>
    </w:p>
    <w:p w14:paraId="4A5AEB9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1C9CF52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为加强预算管理，规范财务行为，已制定《新疆克孜勒苏柯尔克孜自治州边贸公司联合驻吉尔吉斯共和国代表处部门单位预算绩效管理工作实施办法》，《新疆克孜勒苏柯尔克孜自治州边贸公司联合驻吉尔吉斯共和国代表处单位财务管理制度》等健全完整的各项管理制度，有效保障了我单位高效的履行工作职能，较好的促进事业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2021年本单位基本支出全年预算总额91.70万元，其中：人员经费84.55万元，公用经费7.15万元。实际支出91.70万元，基本支出预算执行率100%。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坚决贯彻落实中央、自治区、地委行署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2EAA725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07CF562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14:paraId="42E4198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3EC5D73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（一）资产管理规范性</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资产合计数为49.67万元，比上年减少4.97万元，主要原因是计提折旧、支付应交未交款。货币资金减少，其中：货币资金3.64万元，比上年增加0.53万元；财政应返还额度0万元，比上年相比增长17%，主要原因是：应交未交职业年金。房屋1000平方米31.89万元，比上年减少0万元；车辆2辆36.55万元，与上年相比无变化；在建工程0万元。办公设备及家具24.02万元，与上年相比无变化。我单位本年无资产处置情况。资产配置合理，使用规范，安全完整。</w:t>
      </w:r>
      <w:r>
        <w:rPr>
          <w:rFonts w:hint="eastAsia" w:ascii="仿宋_GB2312" w:hAnsi="宋体" w:eastAsia="仿宋_GB2312"/>
          <w:b w:val="0"/>
          <w:bCs/>
          <w:sz w:val="32"/>
          <w:szCs w:val="32"/>
        </w:rPr>
        <w:cr/>
      </w:r>
      <w:r>
        <w:rPr>
          <w:rFonts w:hint="eastAsia" w:ascii="仿宋_GB2312" w:hAnsi="宋体" w:eastAsia="仿宋_GB2312"/>
          <w:b w:val="0"/>
          <w:bCs/>
          <w:sz w:val="32"/>
          <w:szCs w:val="32"/>
        </w:rPr>
        <w:t>　　1.资产管理情况。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Pr>
          <w:rFonts w:hint="eastAsia" w:ascii="仿宋_GB2312" w:hAnsi="宋体" w:eastAsia="仿宋_GB2312"/>
          <w:b w:val="0"/>
          <w:bCs/>
          <w:sz w:val="32"/>
          <w:szCs w:val="32"/>
        </w:rPr>
        <w:cr/>
      </w:r>
      <w:r>
        <w:rPr>
          <w:rFonts w:hint="eastAsia" w:ascii="仿宋_GB2312" w:hAnsi="宋体" w:eastAsia="仿宋_GB2312"/>
          <w:b w:val="0"/>
          <w:bCs/>
          <w:sz w:val="32"/>
          <w:szCs w:val="32"/>
        </w:rPr>
        <w:t>　　2.固定资产利用情况。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我单位固定资产92.45万元,其中:1000平米房屋31.89万元，2辆车36.54万元，0个专用设备0万元。办公设备24.02万元。目前正在使用的固定资产总额92.45万元，固定资产利用率为100%。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3.流动资产管理情况。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Pr>
          <w:rFonts w:hint="eastAsia" w:ascii="仿宋_GB2312" w:hAnsi="宋体" w:eastAsia="仿宋_GB2312"/>
          <w:b w:val="0"/>
          <w:bCs/>
          <w:sz w:val="32"/>
          <w:szCs w:val="32"/>
        </w:rPr>
        <w:cr/>
      </w:r>
      <w:r>
        <w:rPr>
          <w:rFonts w:hint="eastAsia" w:ascii="仿宋_GB2312" w:hAnsi="宋体" w:eastAsia="仿宋_GB2312"/>
          <w:b w:val="0"/>
          <w:bCs/>
          <w:sz w:val="32"/>
          <w:szCs w:val="32"/>
        </w:rPr>
        <w:t>　　（二）固定资产利用率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截止本年度固定资产账面净值34.41万元，年末实际在用固定资产34.41万元，固定资产利用率为100%。</w:t>
      </w:r>
    </w:p>
    <w:p w14:paraId="62EBE30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1802D71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部门单位整体支出自评表，共设置一级指标3个，二级指标7个，三级指标13个。</w:t>
      </w:r>
      <w:r>
        <w:rPr>
          <w:rFonts w:hint="eastAsia" w:ascii="仿宋_GB2312" w:hAnsi="宋体" w:eastAsia="仿宋_GB2312"/>
          <w:b w:val="0"/>
          <w:bCs/>
          <w:sz w:val="32"/>
          <w:szCs w:val="32"/>
        </w:rPr>
        <w:cr/>
      </w:r>
      <w:r>
        <w:rPr>
          <w:rFonts w:hint="eastAsia" w:ascii="仿宋_GB2312" w:hAnsi="宋体" w:eastAsia="仿宋_GB2312"/>
          <w:b w:val="0"/>
          <w:bCs/>
          <w:sz w:val="32"/>
          <w:szCs w:val="32"/>
        </w:rPr>
        <w:t>　　（一）产出指标完成情况分析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1.产出数量</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保障人员人数指标，预期指标是≥7人，实际完成值是9人，指标完成率是100%，达到预期目标。偏差原因：本年度8月份新增人员2人，改进措施：尽量做到年初预算准确完整。</w:t>
      </w:r>
      <w:r>
        <w:rPr>
          <w:rFonts w:hint="eastAsia" w:ascii="仿宋_GB2312" w:hAnsi="宋体" w:eastAsia="仿宋_GB2312"/>
          <w:b w:val="0"/>
          <w:bCs/>
          <w:sz w:val="32"/>
          <w:szCs w:val="32"/>
        </w:rPr>
        <w:cr/>
      </w:r>
      <w:r>
        <w:rPr>
          <w:rFonts w:hint="eastAsia" w:ascii="仿宋_GB2312" w:hAnsi="宋体" w:eastAsia="仿宋_GB2312"/>
          <w:b w:val="0"/>
          <w:bCs/>
          <w:sz w:val="32"/>
          <w:szCs w:val="32"/>
        </w:rPr>
        <w:t>　　境外经商人员外事教育（人）指标，预期指标是≥10人，实际完成值是10人，指标完成率是100%，达到预期目标。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保护服务驻外经贸活动企业和人员覆盖率（%），预期指标是100%，实际完成值是100%，指标完成率是100%，达到预期目标。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境外商务服务工作完成率（%），预期指标是100%，实际完成值是100%，指标完成率是100%，达到预期目标。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数量指标共计4个，完成4个，达到预期目标，数量指标完成。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2.产出质量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资金使用合理率（%），预期指标是100%，实际完成值是100%，指标完成率是100%，达到质量提升及标准。</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绩效考核合格率%，期指标是等于95%，实际完成值是95%，指标完成率是100%，达到质量提升及标准。</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质量指标共计2个，完成2个，达到质量提升及标准。质量指标完成。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3.产出进度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各项工作完成及时率（%），预期指标是95%，实际完成值是95%，指标完成率是100%，达到预期目标。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时效指标共计1个，完成1个，达达到预期目标，数量指标完成。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4.产出成本</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公用经费（万元），预期指标是2.49万元，实际完成值是2.49万元，指标完成率是100%，达到成本控制及改善目标。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人员经费（万元），预期指标是≤70.62万元，实际完成值是70.62万元，指标完成率是100%，达到成本控制及改善目标。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成本指标共计2个，完成2个，达到成本控制及改善目标，成本指标完成。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（二）效益指标完成情况分析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1.项目实施的经济效益分析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2.项目实施的社会效益分析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规范贸易行为、降低贸易风险，预期指标是效果显著，实际完成值是效果显著，指标完成率是100%，达到单位履职能力对社会带来的影响预期目标。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3.项目实施的生态效益分析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4.项目实施的可持续影响分析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确保边境贸易持续健康发展，预期指标是有效确保，实际完成值是有效确保，指标完成率是100%，实现部门绩效长效机制建设，提高工作效率目标。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可持续影响指标共计1个，完成1个，达到预期目标，可持续影响指标完成。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（三）满意度指标完成情况分析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受益工作人员满意度%，预期指标是≥95%，实际完成值是95%，指标完成率是100%，达到部门（单位）服务对象对部门履职效果的满意度。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境外受益群众满意度%，预期指标是≥95%，实际完成值是95%，指标完成率是100%，达到部门（单位）服务对象对部门履职效果的满意度。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满意度指标共计2个，完成2个，达到部门（单位）服务对象对部门履职效果的满意度，服务对象满意度指标完成。</w:t>
      </w:r>
    </w:p>
    <w:p w14:paraId="6B65B24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2620DB9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绩效指标的明确性、可衡量性、相关性还需进一步提升。预算精细化管理还需完善，预算编制管理水平仍有进一步提升的空间。</w:t>
      </w:r>
    </w:p>
    <w:p w14:paraId="4CD38F9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2BCECD7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3FA46D5"/>
    <w:rsid w:val="06696209"/>
    <w:rsid w:val="0D1922F1"/>
    <w:rsid w:val="0E0A7EA6"/>
    <w:rsid w:val="10645273"/>
    <w:rsid w:val="108622B3"/>
    <w:rsid w:val="1438599A"/>
    <w:rsid w:val="200F4073"/>
    <w:rsid w:val="20DE7CC1"/>
    <w:rsid w:val="24B86128"/>
    <w:rsid w:val="43AB05D6"/>
    <w:rsid w:val="45A831F7"/>
    <w:rsid w:val="496C52A2"/>
    <w:rsid w:val="51C70EA9"/>
    <w:rsid w:val="54F842B6"/>
    <w:rsid w:val="60BF1F2F"/>
    <w:rsid w:val="656071F2"/>
    <w:rsid w:val="6BF1756B"/>
    <w:rsid w:val="6F5E1AA3"/>
    <w:rsid w:val="73CE08BC"/>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7061</Words>
  <Characters>7346</Characters>
  <Lines>2</Lines>
  <Paragraphs>1</Paragraphs>
  <TotalTime>29</TotalTime>
  <ScaleCrop>false</ScaleCrop>
  <LinksUpToDate>false</LinksUpToDate>
  <CharactersWithSpaces>7570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2025-07-31T03:10:22Z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